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27" w:rsidRPr="006375A9" w:rsidRDefault="002C7B27" w:rsidP="002C7B27">
      <w:pPr>
        <w:overflowPunct/>
        <w:ind w:firstLine="540"/>
        <w:jc w:val="center"/>
        <w:textAlignment w:val="auto"/>
        <w:rPr>
          <w:b/>
          <w:szCs w:val="24"/>
        </w:rPr>
      </w:pPr>
      <w:r w:rsidRPr="006375A9">
        <w:rPr>
          <w:b/>
          <w:szCs w:val="24"/>
        </w:rPr>
        <w:t>Изменение в исчислении налога на имущество физических лиц</w:t>
      </w:r>
    </w:p>
    <w:p w:rsidR="002C7B27" w:rsidRPr="006375A9" w:rsidRDefault="002C7B27" w:rsidP="002C7B27">
      <w:pPr>
        <w:overflowPunct/>
        <w:ind w:firstLine="540"/>
        <w:jc w:val="center"/>
        <w:textAlignment w:val="auto"/>
        <w:rPr>
          <w:b/>
          <w:szCs w:val="24"/>
        </w:rPr>
      </w:pPr>
    </w:p>
    <w:p w:rsidR="002C7B27" w:rsidRPr="006375A9" w:rsidRDefault="002C7B27" w:rsidP="002C7B27">
      <w:pPr>
        <w:pStyle w:val="a3"/>
        <w:overflowPunct/>
        <w:ind w:left="0" w:firstLine="709"/>
        <w:jc w:val="both"/>
        <w:textAlignment w:val="auto"/>
        <w:rPr>
          <w:szCs w:val="24"/>
        </w:rPr>
      </w:pPr>
      <w:proofErr w:type="gramStart"/>
      <w:r w:rsidRPr="006375A9">
        <w:rPr>
          <w:bCs/>
          <w:szCs w:val="24"/>
        </w:rPr>
        <w:t>Межрайонная ИФНС России № 10 по Приморскому краю сообщает о том, что с 01.01.201</w:t>
      </w:r>
      <w:r w:rsidRPr="006375A9">
        <w:rPr>
          <w:b/>
          <w:bCs/>
          <w:szCs w:val="24"/>
        </w:rPr>
        <w:t xml:space="preserve">5 </w:t>
      </w:r>
      <w:r w:rsidRPr="006375A9">
        <w:rPr>
          <w:bCs/>
          <w:szCs w:val="24"/>
        </w:rPr>
        <w:t>Налоговый  кодекс Российской Федерации (НК РФ)  дополнен главой 32 «Налог на имущество физических лиц» (изм. внесены Федеральным законом от 4 октября 2014 года № 284-ФЗ).</w:t>
      </w:r>
      <w:proofErr w:type="gramEnd"/>
    </w:p>
    <w:p w:rsidR="002C7B27" w:rsidRPr="006375A9" w:rsidRDefault="002C7B27" w:rsidP="002C7B27">
      <w:pPr>
        <w:widowControl w:val="0"/>
        <w:spacing w:line="276" w:lineRule="auto"/>
        <w:ind w:firstLine="709"/>
        <w:jc w:val="both"/>
        <w:rPr>
          <w:bCs/>
          <w:szCs w:val="24"/>
        </w:rPr>
      </w:pPr>
      <w:r w:rsidRPr="006375A9">
        <w:rPr>
          <w:bCs/>
          <w:szCs w:val="24"/>
        </w:rPr>
        <w:t xml:space="preserve">Главой  32 НК РФ в  переходный  период с 2015 по 2020 год  предусмотрено </w:t>
      </w:r>
      <w:r w:rsidRPr="006375A9">
        <w:rPr>
          <w:b/>
          <w:bCs/>
          <w:szCs w:val="24"/>
        </w:rPr>
        <w:t>два варианта</w:t>
      </w:r>
      <w:r w:rsidRPr="006375A9">
        <w:rPr>
          <w:bCs/>
          <w:szCs w:val="24"/>
        </w:rPr>
        <w:t xml:space="preserve"> определения налоговой базой при расчете  налога на имущество физических лиц:</w:t>
      </w:r>
    </w:p>
    <w:p w:rsidR="002C7B27" w:rsidRPr="006375A9" w:rsidRDefault="002C7B27" w:rsidP="002C7B27">
      <w:pPr>
        <w:widowControl w:val="0"/>
        <w:spacing w:line="276" w:lineRule="auto"/>
        <w:ind w:firstLine="709"/>
        <w:jc w:val="both"/>
        <w:rPr>
          <w:b/>
          <w:bCs/>
          <w:szCs w:val="24"/>
        </w:rPr>
      </w:pPr>
      <w:r w:rsidRPr="006375A9">
        <w:rPr>
          <w:bCs/>
          <w:szCs w:val="24"/>
        </w:rPr>
        <w:t xml:space="preserve">- </w:t>
      </w:r>
      <w:r w:rsidRPr="006375A9">
        <w:rPr>
          <w:b/>
          <w:bCs/>
          <w:szCs w:val="24"/>
        </w:rPr>
        <w:t>от</w:t>
      </w:r>
      <w:r w:rsidRPr="006375A9">
        <w:rPr>
          <w:bCs/>
          <w:szCs w:val="24"/>
        </w:rPr>
        <w:t xml:space="preserve"> </w:t>
      </w:r>
      <w:r w:rsidRPr="006375A9">
        <w:rPr>
          <w:b/>
          <w:bCs/>
          <w:szCs w:val="24"/>
        </w:rPr>
        <w:t xml:space="preserve">инвентаризационной стоимости, исчисленной с учетом коэффициента-дефлятора </w:t>
      </w:r>
      <w:r w:rsidRPr="006375A9">
        <w:rPr>
          <w:bCs/>
          <w:szCs w:val="24"/>
        </w:rPr>
        <w:t>на основании последних данных об инвентаризационной стоимости, представленных в установленном порядке в налоговые органы до 1 марта 2013 года,</w:t>
      </w:r>
      <w:r w:rsidRPr="006375A9">
        <w:rPr>
          <w:b/>
          <w:bCs/>
          <w:szCs w:val="24"/>
        </w:rPr>
        <w:t xml:space="preserve"> </w:t>
      </w:r>
    </w:p>
    <w:p w:rsidR="002C7B27" w:rsidRPr="006375A9" w:rsidRDefault="002C7B27" w:rsidP="002C7B27">
      <w:pPr>
        <w:widowControl w:val="0"/>
        <w:spacing w:line="276" w:lineRule="auto"/>
        <w:ind w:firstLine="709"/>
        <w:jc w:val="both"/>
        <w:rPr>
          <w:bCs/>
          <w:szCs w:val="24"/>
        </w:rPr>
      </w:pPr>
      <w:r w:rsidRPr="006375A9">
        <w:rPr>
          <w:b/>
          <w:bCs/>
          <w:szCs w:val="24"/>
        </w:rPr>
        <w:t>- или кадастровая стоимость объектов недвижимости</w:t>
      </w:r>
      <w:r w:rsidRPr="006375A9">
        <w:rPr>
          <w:bCs/>
          <w:szCs w:val="24"/>
        </w:rPr>
        <w:t>, если в субъекте Российской Федерации будет принято решение об установлении особенностей при определении налоговой базы.</w:t>
      </w:r>
      <w:bookmarkStart w:id="0" w:name="_GoBack"/>
      <w:bookmarkEnd w:id="0"/>
    </w:p>
    <w:p w:rsidR="002C7B27" w:rsidRPr="006375A9" w:rsidRDefault="002C7B27" w:rsidP="002C7B27">
      <w:pPr>
        <w:ind w:firstLine="709"/>
        <w:jc w:val="both"/>
        <w:rPr>
          <w:szCs w:val="24"/>
        </w:rPr>
      </w:pPr>
      <w:r w:rsidRPr="006375A9">
        <w:rPr>
          <w:szCs w:val="24"/>
        </w:rPr>
        <w:t xml:space="preserve">В соответствии с   </w:t>
      </w:r>
      <w:r w:rsidRPr="006375A9">
        <w:rPr>
          <w:bCs/>
          <w:szCs w:val="24"/>
        </w:rPr>
        <w:t>Законом Приморского края 05.06.2019 №</w:t>
      </w:r>
      <w:r w:rsidRPr="006375A9">
        <w:rPr>
          <w:szCs w:val="24"/>
        </w:rPr>
        <w:t xml:space="preserve"> 525-КЗ </w:t>
      </w:r>
      <w:r w:rsidRPr="006375A9">
        <w:rPr>
          <w:i/>
          <w:szCs w:val="24"/>
        </w:rPr>
        <w:t>«О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6375A9">
        <w:rPr>
          <w:szCs w:val="24"/>
        </w:rPr>
        <w:t xml:space="preserve"> на  территории Приморского края  единая дата  установлена с 01.01.2020 года.  </w:t>
      </w:r>
      <w:proofErr w:type="gramStart"/>
      <w:r w:rsidRPr="006375A9">
        <w:rPr>
          <w:szCs w:val="24"/>
        </w:rPr>
        <w:t>Налог</w:t>
      </w:r>
      <w:proofErr w:type="gramEnd"/>
      <w:r w:rsidRPr="006375A9">
        <w:rPr>
          <w:szCs w:val="24"/>
        </w:rPr>
        <w:t xml:space="preserve"> на имущество физических лиц исходя из кадастровой стоимости объектов налогообложения за 2020 год будет исчисляться налоговыми органами в 2021 году.</w:t>
      </w:r>
    </w:p>
    <w:p w:rsidR="002C7B27" w:rsidRPr="006375A9" w:rsidRDefault="002C7B27" w:rsidP="002C7B27">
      <w:pPr>
        <w:widowControl w:val="0"/>
        <w:spacing w:line="276" w:lineRule="auto"/>
        <w:ind w:firstLine="709"/>
        <w:jc w:val="both"/>
        <w:rPr>
          <w:bCs/>
          <w:szCs w:val="24"/>
        </w:rPr>
      </w:pPr>
      <w:r w:rsidRPr="006375A9">
        <w:rPr>
          <w:b/>
          <w:bCs/>
          <w:szCs w:val="24"/>
        </w:rPr>
        <w:t xml:space="preserve">В 2020 году </w:t>
      </w:r>
      <w:r w:rsidRPr="006375A9">
        <w:rPr>
          <w:bCs/>
          <w:szCs w:val="24"/>
        </w:rPr>
        <w:t xml:space="preserve">налог  </w:t>
      </w:r>
      <w:r w:rsidRPr="006375A9">
        <w:rPr>
          <w:szCs w:val="24"/>
          <w:lang w:eastAsia="en-US"/>
        </w:rPr>
        <w:t>на имущество физических лиц</w:t>
      </w:r>
      <w:r w:rsidRPr="006375A9">
        <w:rPr>
          <w:bCs/>
          <w:szCs w:val="24"/>
        </w:rPr>
        <w:t xml:space="preserve"> будет исчисляться  налоговыми органами</w:t>
      </w:r>
      <w:r w:rsidRPr="006375A9">
        <w:rPr>
          <w:b/>
          <w:bCs/>
          <w:szCs w:val="24"/>
        </w:rPr>
        <w:t xml:space="preserve"> за 2019 год</w:t>
      </w:r>
      <w:r w:rsidRPr="006375A9">
        <w:rPr>
          <w:bCs/>
          <w:szCs w:val="24"/>
        </w:rPr>
        <w:t xml:space="preserve">  исходя </w:t>
      </w:r>
      <w:r w:rsidRPr="006375A9">
        <w:rPr>
          <w:szCs w:val="24"/>
        </w:rPr>
        <w:t>последних данных об инвентаризационной стоимости (на 01.01.2013)</w:t>
      </w:r>
      <w:r w:rsidRPr="006375A9">
        <w:rPr>
          <w:bCs/>
          <w:szCs w:val="24"/>
        </w:rPr>
        <w:t xml:space="preserve">, умноженной на </w:t>
      </w:r>
      <w:r w:rsidRPr="006375A9">
        <w:rPr>
          <w:b/>
          <w:bCs/>
          <w:szCs w:val="24"/>
        </w:rPr>
        <w:t>коэффициент-дефлятор</w:t>
      </w:r>
      <w:r w:rsidRPr="006375A9">
        <w:rPr>
          <w:b/>
          <w:bCs/>
          <w:i/>
          <w:szCs w:val="24"/>
        </w:rPr>
        <w:t xml:space="preserve"> </w:t>
      </w:r>
      <w:r w:rsidRPr="006375A9">
        <w:rPr>
          <w:b/>
          <w:bCs/>
          <w:szCs w:val="24"/>
        </w:rPr>
        <w:t>в размере  1,518</w:t>
      </w:r>
      <w:r w:rsidRPr="006375A9">
        <w:rPr>
          <w:bCs/>
          <w:szCs w:val="24"/>
        </w:rPr>
        <w:t>, установленный Приказом Минэкономразвития от 30.10.2018 № 595 «Об установлении коэффициентов-дефляторов на 2019 год», и ставку налога, установленную нормативными правовыми актами органов МО.</w:t>
      </w:r>
    </w:p>
    <w:p w:rsidR="002C7B27" w:rsidRPr="006375A9" w:rsidRDefault="002C7B27" w:rsidP="002C7B27">
      <w:pPr>
        <w:ind w:firstLine="709"/>
        <w:jc w:val="both"/>
        <w:rPr>
          <w:szCs w:val="24"/>
        </w:rPr>
      </w:pPr>
      <w:r w:rsidRPr="006375A9">
        <w:rPr>
          <w:szCs w:val="24"/>
        </w:rPr>
        <w:t xml:space="preserve">Перечень на 2019 год  утвержден Распоряжением Департамента земельных и имущественных отношений от 25.12.2018 № 281-ри </w:t>
      </w:r>
      <w:r w:rsidRPr="006375A9">
        <w:rPr>
          <w:i/>
          <w:szCs w:val="24"/>
        </w:rPr>
        <w:t>«Об утверждении Перечня объектов недвижимого имущества, в отношении которых налоговая база определяется как кадастровая стоимость, на 2019 год»</w:t>
      </w:r>
      <w:r w:rsidRPr="006375A9">
        <w:rPr>
          <w:szCs w:val="24"/>
        </w:rPr>
        <w:t xml:space="preserve"> (с изменениями) будет использован для исчисления НИФЛ за 2019 год в 2020 году.</w:t>
      </w:r>
    </w:p>
    <w:p w:rsidR="002C7B27" w:rsidRPr="006375A9" w:rsidRDefault="002C7B27" w:rsidP="002C7B27">
      <w:pPr>
        <w:overflowPunct/>
        <w:ind w:firstLine="709"/>
        <w:jc w:val="both"/>
        <w:textAlignment w:val="auto"/>
        <w:rPr>
          <w:szCs w:val="24"/>
        </w:rPr>
      </w:pPr>
      <w:proofErr w:type="gramStart"/>
      <w:r w:rsidRPr="006375A9">
        <w:rPr>
          <w:bCs/>
          <w:szCs w:val="24"/>
        </w:rPr>
        <w:t>С 01.01.2019 н</w:t>
      </w:r>
      <w:r w:rsidRPr="006375A9">
        <w:rPr>
          <w:szCs w:val="24"/>
        </w:rPr>
        <w:t xml:space="preserve">а основании </w:t>
      </w:r>
      <w:hyperlink r:id="rId6" w:history="1">
        <w:r w:rsidRPr="006375A9">
          <w:rPr>
            <w:szCs w:val="24"/>
          </w:rPr>
          <w:t>подпункта 10.1 пункта 1 статьи 407</w:t>
        </w:r>
      </w:hyperlink>
      <w:r w:rsidRPr="006375A9">
        <w:rPr>
          <w:szCs w:val="24"/>
        </w:rPr>
        <w:t xml:space="preserve"> НК РФ (в редакции Федерального закона от 30.10.2018 N 378-ФЗ "О внесении изменений в статьи 391 и 407 Налогового кодекса Российской Федерации") (далее - Кодекс) от уплаты налога освобождаются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(далее - лица</w:t>
      </w:r>
      <w:proofErr w:type="gramEnd"/>
      <w:r w:rsidRPr="006375A9">
        <w:rPr>
          <w:szCs w:val="24"/>
        </w:rPr>
        <w:t xml:space="preserve"> </w:t>
      </w:r>
      <w:proofErr w:type="spellStart"/>
      <w:proofErr w:type="gramStart"/>
      <w:r w:rsidRPr="006375A9">
        <w:rPr>
          <w:szCs w:val="24"/>
        </w:rPr>
        <w:t>предпенсионного</w:t>
      </w:r>
      <w:proofErr w:type="spellEnd"/>
      <w:r w:rsidRPr="006375A9">
        <w:rPr>
          <w:szCs w:val="24"/>
        </w:rPr>
        <w:t xml:space="preserve"> возраста).</w:t>
      </w:r>
      <w:proofErr w:type="gramEnd"/>
      <w:r w:rsidRPr="006375A9">
        <w:rPr>
          <w:szCs w:val="24"/>
        </w:rPr>
        <w:t xml:space="preserve"> Налоговая льгота предоставляется льготным категориям налогоплательщиков с налогового периода 2019 года.</w:t>
      </w:r>
    </w:p>
    <w:p w:rsidR="002C7B27" w:rsidRPr="006375A9" w:rsidRDefault="002C7B27" w:rsidP="002C7B27">
      <w:pPr>
        <w:overflowPunct/>
        <w:ind w:firstLine="709"/>
        <w:jc w:val="both"/>
        <w:textAlignment w:val="auto"/>
        <w:rPr>
          <w:szCs w:val="24"/>
        </w:rPr>
      </w:pPr>
      <w:proofErr w:type="gramStart"/>
      <w:r w:rsidRPr="006375A9">
        <w:rPr>
          <w:szCs w:val="24"/>
        </w:rPr>
        <w:t xml:space="preserve">Указанная налоговая льгота предоставляется в соответствии с </w:t>
      </w:r>
      <w:hyperlink r:id="rId7" w:history="1">
        <w:r w:rsidRPr="006375A9">
          <w:rPr>
            <w:szCs w:val="24"/>
          </w:rPr>
          <w:t>пунктом 4 статьи 407</w:t>
        </w:r>
      </w:hyperlink>
      <w:r w:rsidRPr="006375A9">
        <w:rPr>
          <w:szCs w:val="24"/>
        </w:rPr>
        <w:t xml:space="preserve"> НК РФ в отношении одного объекта налогообложения каждого вида: один жилой дом или часть жилого дома, одна квартира, часть квартиры или комната, один гараж или </w:t>
      </w:r>
      <w:proofErr w:type="spellStart"/>
      <w:r w:rsidRPr="006375A9">
        <w:rPr>
          <w:szCs w:val="24"/>
        </w:rPr>
        <w:t>машино</w:t>
      </w:r>
      <w:proofErr w:type="spellEnd"/>
      <w:r w:rsidRPr="006375A9">
        <w:rPr>
          <w:szCs w:val="24"/>
        </w:rPr>
        <w:t>-место, одно хозяйственное строение или сооружение, площадь каждого из которых не превышает 50 кв. метров и которые расположены на земельных участках, предоставленных для ведения</w:t>
      </w:r>
      <w:proofErr w:type="gramEnd"/>
      <w:r w:rsidRPr="006375A9">
        <w:rPr>
          <w:szCs w:val="24"/>
        </w:rPr>
        <w:t xml:space="preserve"> личного подсобного хозяйства, дачного хозяйства, огородничества, садоводства или индивидуального жилищного строительства, одно специально оборудованное помещение или сооружение, указанные в </w:t>
      </w:r>
      <w:hyperlink r:id="rId8" w:history="1">
        <w:r w:rsidRPr="006375A9">
          <w:rPr>
            <w:szCs w:val="24"/>
          </w:rPr>
          <w:t>подпункте 14 пункта 1 статьи 407</w:t>
        </w:r>
      </w:hyperlink>
      <w:r w:rsidRPr="006375A9">
        <w:rPr>
          <w:szCs w:val="24"/>
        </w:rPr>
        <w:t xml:space="preserve"> Кодекса.</w:t>
      </w:r>
    </w:p>
    <w:p w:rsidR="002C7B27" w:rsidRPr="006375A9" w:rsidRDefault="002C7B27" w:rsidP="002C7B27">
      <w:pPr>
        <w:overflowPunct/>
        <w:ind w:firstLine="709"/>
        <w:jc w:val="both"/>
        <w:textAlignment w:val="auto"/>
        <w:rPr>
          <w:szCs w:val="24"/>
        </w:rPr>
      </w:pPr>
      <w:r w:rsidRPr="006375A9">
        <w:rPr>
          <w:szCs w:val="24"/>
        </w:rPr>
        <w:lastRenderedPageBreak/>
        <w:t xml:space="preserve">Согласно </w:t>
      </w:r>
      <w:hyperlink r:id="rId9" w:history="1">
        <w:r w:rsidRPr="006375A9">
          <w:rPr>
            <w:szCs w:val="24"/>
          </w:rPr>
          <w:t>пункту 6 статьи 407</w:t>
        </w:r>
      </w:hyperlink>
      <w:r w:rsidRPr="006375A9">
        <w:rPr>
          <w:szCs w:val="24"/>
        </w:rPr>
        <w:t xml:space="preserve"> НК РФ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льготы, а также вправе представить документы, подтверждающие право на налоговую льготу.</w:t>
      </w:r>
    </w:p>
    <w:p w:rsidR="002C7B27" w:rsidRPr="006375A9" w:rsidRDefault="002C7B27" w:rsidP="002C7B27">
      <w:pPr>
        <w:overflowPunct/>
        <w:ind w:firstLine="709"/>
        <w:jc w:val="both"/>
        <w:textAlignment w:val="auto"/>
        <w:rPr>
          <w:szCs w:val="24"/>
        </w:rPr>
      </w:pPr>
      <w:r w:rsidRPr="006375A9">
        <w:rPr>
          <w:szCs w:val="24"/>
        </w:rPr>
        <w:t xml:space="preserve">В случае если налогоплательщик, относящийся к лицам </w:t>
      </w:r>
      <w:proofErr w:type="spellStart"/>
      <w:r w:rsidRPr="006375A9">
        <w:rPr>
          <w:szCs w:val="24"/>
        </w:rPr>
        <w:t>предпенсионного</w:t>
      </w:r>
      <w:proofErr w:type="spellEnd"/>
      <w:r w:rsidRPr="006375A9">
        <w:rPr>
          <w:szCs w:val="24"/>
        </w:rPr>
        <w:t xml:space="preserve"> возраста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Кодексом и другими федеральными законами, </w:t>
      </w:r>
      <w:proofErr w:type="spellStart"/>
      <w:r w:rsidRPr="006375A9">
        <w:rPr>
          <w:szCs w:val="24"/>
        </w:rPr>
        <w:t>т</w:t>
      </w:r>
      <w:proofErr w:type="gramStart"/>
      <w:r w:rsidRPr="006375A9">
        <w:rPr>
          <w:szCs w:val="24"/>
        </w:rPr>
        <w:t>.е</w:t>
      </w:r>
      <w:proofErr w:type="spellEnd"/>
      <w:proofErr w:type="gramEnd"/>
      <w:r w:rsidRPr="006375A9">
        <w:rPr>
          <w:szCs w:val="24"/>
        </w:rPr>
        <w:t xml:space="preserve"> в </w:t>
      </w:r>
      <w:proofErr w:type="spellStart"/>
      <w:r w:rsidRPr="006375A9">
        <w:rPr>
          <w:szCs w:val="24"/>
        </w:rPr>
        <w:t>беззаявительном</w:t>
      </w:r>
      <w:proofErr w:type="spellEnd"/>
      <w:r w:rsidRPr="006375A9">
        <w:rPr>
          <w:szCs w:val="24"/>
        </w:rPr>
        <w:t xml:space="preserve"> порядке.</w:t>
      </w:r>
    </w:p>
    <w:p w:rsidR="002C7B27" w:rsidRPr="006375A9" w:rsidRDefault="002C7B27" w:rsidP="002C7B27">
      <w:pPr>
        <w:overflowPunct/>
        <w:ind w:firstLine="709"/>
        <w:jc w:val="both"/>
        <w:textAlignment w:val="auto"/>
        <w:rPr>
          <w:szCs w:val="24"/>
        </w:rPr>
      </w:pPr>
      <w:r w:rsidRPr="006375A9">
        <w:rPr>
          <w:szCs w:val="24"/>
        </w:rPr>
        <w:t xml:space="preserve">Дополнительно к существующим способам взаимодействия с налоговыми органами граждане смогут направлять ключевые документы в налоговые инспекции и получать ответы через МФЦ. </w:t>
      </w:r>
      <w:proofErr w:type="gramStart"/>
      <w:r w:rsidRPr="006375A9">
        <w:rPr>
          <w:szCs w:val="24"/>
        </w:rPr>
        <w:t xml:space="preserve">Таким способом можно подать </w:t>
      </w:r>
      <w:hyperlink r:id="rId10" w:history="1">
        <w:r w:rsidRPr="006375A9">
          <w:rPr>
            <w:szCs w:val="24"/>
          </w:rPr>
          <w:t>заявление</w:t>
        </w:r>
      </w:hyperlink>
      <w:r w:rsidRPr="006375A9">
        <w:rPr>
          <w:szCs w:val="24"/>
        </w:rPr>
        <w:t xml:space="preserve"> о предоставлении льготы по транспортному и земельному налогам, налогу на имущество физических лиц, </w:t>
      </w:r>
      <w:hyperlink r:id="rId11" w:history="1">
        <w:r w:rsidRPr="006375A9">
          <w:rPr>
            <w:szCs w:val="24"/>
          </w:rPr>
          <w:t>уведомление</w:t>
        </w:r>
      </w:hyperlink>
      <w:r w:rsidRPr="006375A9">
        <w:rPr>
          <w:szCs w:val="24"/>
        </w:rPr>
        <w:t xml:space="preserve"> о выбранных объектах налогообложения, для которых предоставляется </w:t>
      </w:r>
      <w:hyperlink r:id="rId12" w:history="1">
        <w:r w:rsidRPr="006375A9">
          <w:rPr>
            <w:szCs w:val="24"/>
          </w:rPr>
          <w:t>льгота</w:t>
        </w:r>
      </w:hyperlink>
      <w:r w:rsidRPr="006375A9">
        <w:rPr>
          <w:szCs w:val="24"/>
        </w:rPr>
        <w:t xml:space="preserve"> по налогу на имущество физических лиц, </w:t>
      </w:r>
      <w:hyperlink r:id="rId13" w:history="1">
        <w:r w:rsidRPr="006375A9">
          <w:rPr>
            <w:szCs w:val="24"/>
          </w:rPr>
          <w:t>уведомление</w:t>
        </w:r>
      </w:hyperlink>
      <w:r w:rsidRPr="006375A9">
        <w:rPr>
          <w:szCs w:val="24"/>
        </w:rPr>
        <w:t xml:space="preserve"> о выбранном земельном участке, в отношении которого применяется вычет по земельному налогу, </w:t>
      </w:r>
      <w:hyperlink r:id="rId14" w:history="1">
        <w:r w:rsidRPr="006375A9">
          <w:rPr>
            <w:szCs w:val="24"/>
          </w:rPr>
          <w:t>заявление</w:t>
        </w:r>
      </w:hyperlink>
      <w:r w:rsidRPr="006375A9">
        <w:rPr>
          <w:szCs w:val="24"/>
        </w:rPr>
        <w:t xml:space="preserve"> о гибели или уничтожении объекта налогообложения по налогу на имущество физлиц.</w:t>
      </w:r>
      <w:proofErr w:type="gramEnd"/>
    </w:p>
    <w:p w:rsidR="002C7B27" w:rsidRDefault="006375A9" w:rsidP="002C7B27">
      <w:pPr>
        <w:overflowPunct/>
        <w:ind w:firstLine="709"/>
        <w:jc w:val="both"/>
        <w:textAlignment w:val="auto"/>
        <w:rPr>
          <w:szCs w:val="24"/>
        </w:rPr>
      </w:pPr>
      <w:r>
        <w:rPr>
          <w:szCs w:val="24"/>
        </w:rPr>
        <w:t>О</w:t>
      </w:r>
      <w:r w:rsidR="002C7B27" w:rsidRPr="006375A9">
        <w:rPr>
          <w:szCs w:val="24"/>
        </w:rPr>
        <w:t>рганы местного самоуправления могут устанавливать налоговые ставки и льготы. Подробнее с этой информацией можно ознакомиться с помощью "Справочной информации о ставках и льготах по имущественным налогам".</w:t>
      </w:r>
    </w:p>
    <w:p w:rsidR="006375A9" w:rsidRDefault="006375A9" w:rsidP="002C7B27">
      <w:pPr>
        <w:overflowPunct/>
        <w:ind w:firstLine="709"/>
        <w:jc w:val="both"/>
        <w:textAlignment w:val="auto"/>
        <w:rPr>
          <w:szCs w:val="24"/>
        </w:rPr>
      </w:pPr>
    </w:p>
    <w:p w:rsidR="006375A9" w:rsidRDefault="006375A9" w:rsidP="006375A9">
      <w:pPr>
        <w:overflowPunct/>
        <w:ind w:firstLine="709"/>
        <w:jc w:val="right"/>
        <w:textAlignment w:val="auto"/>
        <w:rPr>
          <w:szCs w:val="24"/>
        </w:rPr>
      </w:pPr>
      <w:r>
        <w:rPr>
          <w:szCs w:val="24"/>
        </w:rPr>
        <w:t>/</w:t>
      </w:r>
      <w:proofErr w:type="gramStart"/>
      <w:r w:rsidRPr="006375A9">
        <w:rPr>
          <w:szCs w:val="24"/>
        </w:rPr>
        <w:t>Межрайонная</w:t>
      </w:r>
      <w:proofErr w:type="gramEnd"/>
      <w:r w:rsidRPr="006375A9">
        <w:rPr>
          <w:szCs w:val="24"/>
        </w:rPr>
        <w:t xml:space="preserve"> ИФНС России № 10 по Приморскому краю</w:t>
      </w:r>
      <w:r>
        <w:rPr>
          <w:szCs w:val="24"/>
        </w:rPr>
        <w:t>/</w:t>
      </w:r>
    </w:p>
    <w:p w:rsidR="006375A9" w:rsidRPr="006375A9" w:rsidRDefault="006375A9" w:rsidP="006375A9">
      <w:pPr>
        <w:overflowPunct/>
        <w:ind w:firstLine="709"/>
        <w:jc w:val="right"/>
        <w:textAlignment w:val="auto"/>
        <w:rPr>
          <w:szCs w:val="24"/>
        </w:rPr>
      </w:pPr>
      <w:r>
        <w:rPr>
          <w:szCs w:val="24"/>
        </w:rPr>
        <w:t>17.02.2020</w:t>
      </w:r>
    </w:p>
    <w:p w:rsidR="002C7B27" w:rsidRPr="006375A9" w:rsidRDefault="002C7B27" w:rsidP="002C7B27">
      <w:pPr>
        <w:overflowPunct/>
        <w:ind w:firstLine="709"/>
        <w:jc w:val="both"/>
        <w:textAlignment w:val="auto"/>
        <w:rPr>
          <w:b/>
          <w:bCs/>
          <w:szCs w:val="24"/>
        </w:rPr>
      </w:pPr>
    </w:p>
    <w:p w:rsidR="002C7B27" w:rsidRPr="00FA3CE7" w:rsidRDefault="002C7B27" w:rsidP="002C7B27">
      <w:pPr>
        <w:ind w:firstLine="709"/>
        <w:jc w:val="both"/>
        <w:rPr>
          <w:sz w:val="26"/>
          <w:szCs w:val="26"/>
        </w:rPr>
      </w:pPr>
    </w:p>
    <w:p w:rsidR="002C7B27" w:rsidRDefault="002C7B27" w:rsidP="002C7B27">
      <w:pPr>
        <w:ind w:firstLine="709"/>
        <w:jc w:val="both"/>
        <w:rPr>
          <w:sz w:val="28"/>
          <w:szCs w:val="28"/>
        </w:rPr>
      </w:pPr>
    </w:p>
    <w:p w:rsidR="009C7B4C" w:rsidRDefault="009C7B4C"/>
    <w:sectPr w:rsidR="009C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B70"/>
    <w:multiLevelType w:val="multilevel"/>
    <w:tmpl w:val="AEDA94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27"/>
    <w:rsid w:val="002C7B27"/>
    <w:rsid w:val="006375A9"/>
    <w:rsid w:val="009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55774FD37574816BDE5D37CD129E5BE9F02DCE3C1364E3EA9DA7358AB5AA9DFB55F13990937BB8E74D16B3A4D116522F4B83AA4D32Eg4A7F" TargetMode="External"/><Relationship Id="rId13" Type="http://schemas.openxmlformats.org/officeDocument/2006/relationships/hyperlink" Target="consultantplus://offline/ref=0D1BB5483E74544C8B6131FAF15D5B7B0BEFA34B727CFF6064880E5C88B7CA33E33E3EC97A1523E444FCE7E79DFA96A0F2ED760ACF9DE0C9hD0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C55774FD37574816BDE5D37CD129E5BE9F02DCE3C1364E3EA9DA7358AB5AA9DFB55F139D0E3EB78E74D16B3A4D116522F4B83AA4D32Eg4A7F" TargetMode="External"/><Relationship Id="rId12" Type="http://schemas.openxmlformats.org/officeDocument/2006/relationships/hyperlink" Target="consultantplus://offline/ref=0D1BB5483E74544C8B6131FAF15D5B7B0AE2A6417079FF6064880E5C88B7CA33E33E3EC97A1123E648A3E2F28CA299ABE5F37715D39FE2hC0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D46A832229CA4D5CAE5661FD956A93E534FC9815093CD39CA4D8F34301DF9BB0A78229678C0C43D6FB347311C02153F6AEFAAF4987FAQA5DE" TargetMode="External"/><Relationship Id="rId11" Type="http://schemas.openxmlformats.org/officeDocument/2006/relationships/hyperlink" Target="consultantplus://offline/ref=0D1BB5483E74544C8B6131FAF15D5B7B0BEEA6427170FF6064880E5C88B7CA33E33E3ECF714172A116FAB1BFC7AF9ABCF9F374h00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1BB5483E74544C8B6131FAF15D5B7B0BEEA74B7E7AFF6064880E5C88B7CA33E33E3EC97A1523E742FCE7E79DFA96A0F2ED760ACF9DE0C9hD0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55774FD37574816BDE5D37CD129E5BE9F02DCE3C1364E3EA9DA7358AB5AA9DFB55F13990937BA8E74D16B3A4D116522F4B83AA4D32Eg4A7F" TargetMode="External"/><Relationship Id="rId14" Type="http://schemas.openxmlformats.org/officeDocument/2006/relationships/hyperlink" Target="consultantplus://offline/ref=0D1BB5483E74544C8B6131FAF15D5B7B0AE4A3427678FF6064880E5C88B7CA33E33E3EC97A1523E743FCE7E79DFA96A0F2ED760ACF9DE0C9hD0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2</cp:revision>
  <dcterms:created xsi:type="dcterms:W3CDTF">2020-02-17T07:34:00Z</dcterms:created>
  <dcterms:modified xsi:type="dcterms:W3CDTF">2020-02-18T04:56:00Z</dcterms:modified>
</cp:coreProperties>
</file>